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2701900</wp:posOffset>
                </wp:positionH>
                <wp:positionV relativeFrom="paragraph">
                  <wp:posOffset>107950</wp:posOffset>
                </wp:positionV>
                <wp:extent cx="609600" cy="755650"/>
                <wp:effectExtent l="0" t="0" r="0" b="6350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960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12.75pt;mso-position-horizontal:absolute;mso-position-vertical-relative:text;margin-top:8.50pt;mso-position-vertical:absolute;width:48.00pt;height:59.50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  <w:lang w:val="en-US"/>
        </w:rPr>
      </w:pPr>
      <w:r>
        <w:rPr>
          <w:b/>
          <w:sz w:val="28"/>
          <w:lang w:val="en-US"/>
        </w:rPr>
      </w:r>
      <w:r>
        <w:rPr>
          <w:b/>
          <w:sz w:val="28"/>
          <w:lang w:val="en-US"/>
        </w:rPr>
      </w:r>
      <w:r>
        <w:rPr>
          <w:b/>
          <w:sz w:val="28"/>
          <w:lang w:val="en-US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АДМИНИСТРАЦИЯ 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ПЕЧЕНГСКОГО МУНИЦИПАЛЬНОГО ОКРУГА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  <w:t xml:space="preserve">МУРМАНСКОЙ ОБЛАСТИ</w:t>
      </w:r>
      <w:r>
        <w:rPr>
          <w:b/>
          <w:sz w:val="28"/>
        </w:rPr>
      </w:r>
      <w:r>
        <w:rPr>
          <w:b/>
          <w:sz w:val="28"/>
        </w:rPr>
      </w:r>
    </w:p>
    <w:p>
      <w:pPr>
        <w:jc w:val="center"/>
        <w:widowControl w:val="off"/>
        <w:rPr>
          <w:b/>
          <w:sz w:val="16"/>
          <w:szCs w:val="16"/>
        </w:rPr>
      </w:pPr>
      <w:r>
        <w:rPr>
          <w:b/>
          <w:sz w:val="16"/>
          <w:szCs w:val="16"/>
        </w:rPr>
      </w:r>
      <w:r>
        <w:rPr>
          <w:b/>
          <w:sz w:val="16"/>
          <w:szCs w:val="16"/>
        </w:rPr>
      </w:r>
      <w:r>
        <w:rPr>
          <w:b/>
          <w:sz w:val="16"/>
          <w:szCs w:val="1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19.08.2024 </w:t>
        <w:tab/>
        <w:tab/>
        <w:tab/>
        <w:tab/>
        <w:tab/>
        <w:tab/>
        <w:tab/>
        <w:tab/>
        <w:tab/>
        <w:tab/>
      </w:r>
      <w:r>
        <w:rPr>
          <w:b/>
          <w:sz w:val="24"/>
          <w:szCs w:val="24"/>
        </w:rPr>
        <w:t xml:space="preserve"> № 1303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6"/>
        <w:ind w:right="0"/>
        <w:jc w:val="center"/>
        <w:tabs>
          <w:tab w:val="left" w:pos="9355" w:leader="none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0"/>
          <w:szCs w:val="20"/>
        </w:rPr>
        <w:t xml:space="preserve">Об </w:t>
      </w:r>
      <w:r>
        <w:rPr>
          <w:rFonts w:eastAsia="Times New Roman"/>
          <w:b/>
          <w:bCs/>
          <w:sz w:val="20"/>
          <w:szCs w:val="20"/>
        </w:rPr>
        <w:t xml:space="preserve">установлении публичного сервитута</w:t>
      </w:r>
      <w:r>
        <w:rPr>
          <w:rFonts w:eastAsia="Times New Roman"/>
          <w:b/>
          <w:bCs/>
          <w:sz w:val="24"/>
          <w:szCs w:val="24"/>
        </w:rPr>
      </w:r>
      <w:r>
        <w:rPr>
          <w:rFonts w:eastAsia="Times New Roman"/>
          <w:b/>
          <w:bCs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</w:t>
      </w:r>
      <w:r>
        <w:rPr>
          <w:sz w:val="24"/>
          <w:szCs w:val="24"/>
        </w:rPr>
        <w:t xml:space="preserve">Земельным кодексом Российской Федерации, Федеральным законом от 25.10.2001 № 137-ФЗ «О введении в действие Земельного кодекса </w:t>
      </w:r>
      <w:r>
        <w:rPr>
          <w:sz w:val="24"/>
          <w:szCs w:val="24"/>
        </w:rPr>
        <w:t xml:space="preserve">Российской Федерации», на основании ходатайства </w:t>
      </w:r>
      <w:r>
        <w:rPr>
          <w:sz w:val="24"/>
          <w:szCs w:val="24"/>
        </w:rPr>
        <w:t xml:space="preserve">Публичного акционерного общества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</w:t>
      </w:r>
      <w:r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(ИНН </w:t>
      </w:r>
      <w:r>
        <w:rPr>
          <w:sz w:val="24"/>
          <w:szCs w:val="24"/>
        </w:rPr>
        <w:t xml:space="preserve">7802312751</w:t>
      </w:r>
      <w:r>
        <w:rPr>
          <w:sz w:val="24"/>
          <w:szCs w:val="24"/>
        </w:rPr>
        <w:t xml:space="preserve">, ОГРН</w:t>
      </w:r>
      <w:r>
        <w:rPr>
          <w:sz w:val="24"/>
          <w:szCs w:val="24"/>
        </w:rPr>
        <w:t xml:space="preserve"> 1047855175785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от </w:t>
      </w:r>
      <w:r>
        <w:rPr>
          <w:sz w:val="24"/>
          <w:szCs w:val="24"/>
        </w:rPr>
        <w:t xml:space="preserve">02</w:t>
      </w:r>
      <w:r>
        <w:rPr>
          <w:sz w:val="24"/>
          <w:szCs w:val="24"/>
        </w:rPr>
        <w:t xml:space="preserve">.0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, схемы расположения границ публичного сервитута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границы публичного сервитута в соответствии с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 схемой  расположения границ публичного сервитута согласно приложению.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Установить публичный сервитут в интересах </w:t>
      </w:r>
      <w:r>
        <w:rPr>
          <w:sz w:val="24"/>
          <w:szCs w:val="24"/>
        </w:rPr>
        <w:t xml:space="preserve">Публичного акционерного общества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</w:t>
      </w:r>
      <w:r>
        <w:rPr>
          <w:sz w:val="24"/>
          <w:szCs w:val="24"/>
        </w:rPr>
        <w:t xml:space="preserve">» (ИНН </w:t>
      </w:r>
      <w:r>
        <w:rPr>
          <w:sz w:val="24"/>
          <w:szCs w:val="24"/>
        </w:rPr>
        <w:t xml:space="preserve">7802312751, ОГРН 1047855175785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(далее по тексту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</w:t>
      </w:r>
      <w:r>
        <w:rPr>
          <w:sz w:val="24"/>
          <w:szCs w:val="24"/>
        </w:rPr>
        <w:t xml:space="preserve">»)</w:t>
      </w:r>
      <w:r>
        <w:rPr>
          <w:sz w:val="24"/>
          <w:szCs w:val="24"/>
        </w:rPr>
        <w:t xml:space="preserve"> в целях </w:t>
      </w:r>
      <w:r>
        <w:rPr>
          <w:sz w:val="24"/>
          <w:szCs w:val="24"/>
        </w:rPr>
        <w:t xml:space="preserve">строительства объекта электросетевого хозяйства «Строительство </w:t>
      </w:r>
      <w:r>
        <w:rPr>
          <w:sz w:val="24"/>
          <w:szCs w:val="24"/>
        </w:rPr>
        <w:t xml:space="preserve">ВЛ</w:t>
      </w:r>
      <w:r>
        <w:rPr>
          <w:sz w:val="24"/>
          <w:szCs w:val="24"/>
        </w:rPr>
        <w:t xml:space="preserve">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 от ВЛ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Раякоски</w:t>
      </w:r>
      <w:r>
        <w:rPr>
          <w:sz w:val="24"/>
          <w:szCs w:val="24"/>
        </w:rPr>
        <w:t xml:space="preserve"> ГЭС-6-Янискоски ГЭС-5 с отпайкой на </w:t>
      </w:r>
      <w:r>
        <w:rPr>
          <w:sz w:val="24"/>
          <w:szCs w:val="24"/>
        </w:rPr>
        <w:t xml:space="preserve">Кайтакоски</w:t>
      </w:r>
      <w:r>
        <w:rPr>
          <w:sz w:val="24"/>
          <w:szCs w:val="24"/>
        </w:rPr>
        <w:t xml:space="preserve"> ГЭС-4 (Л-130) до РУ 110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 МГЭС на р. Паз, Мурманская область, </w:t>
      </w:r>
      <w:r>
        <w:rPr>
          <w:sz w:val="24"/>
          <w:szCs w:val="24"/>
        </w:rPr>
        <w:t xml:space="preserve">Печенгский</w:t>
      </w:r>
      <w:r>
        <w:rPr>
          <w:sz w:val="24"/>
          <w:szCs w:val="24"/>
        </w:rPr>
        <w:t xml:space="preserve"> муниципальный округ, </w:t>
      </w:r>
      <w:r>
        <w:rPr>
          <w:sz w:val="24"/>
          <w:szCs w:val="24"/>
        </w:rPr>
        <w:t xml:space="preserve">г.п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Никель, район Паз (ПАО «ТГК-1» Дог.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 xml:space="preserve">№ </w:t>
      </w:r>
      <w:r>
        <w:rPr>
          <w:sz w:val="24"/>
          <w:szCs w:val="24"/>
        </w:rPr>
        <w:t xml:space="preserve">КОЛ-00934-Б-С/22 от 30.12.22)» </w:t>
      </w:r>
      <w:r>
        <w:rPr>
          <w:sz w:val="24"/>
          <w:szCs w:val="24"/>
        </w:rPr>
        <w:t xml:space="preserve">в отношении </w:t>
      </w:r>
      <w:r>
        <w:rPr>
          <w:sz w:val="24"/>
          <w:szCs w:val="24"/>
        </w:rPr>
        <w:t xml:space="preserve">земельн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участк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 с кадастровым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номер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и:</w:t>
      </w:r>
      <w:r>
        <w:rPr>
          <w:sz w:val="24"/>
          <w:szCs w:val="24"/>
        </w:rPr>
        <w:t xml:space="preserve"> 51:03:</w:t>
      </w:r>
      <w:r>
        <w:rPr>
          <w:sz w:val="24"/>
          <w:szCs w:val="24"/>
        </w:rPr>
        <w:t xml:space="preserve">00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22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51:03:0090103:15, 51:03:0090103:5, 51:00:0000000:5 </w:t>
        <w:br/>
        <w:t xml:space="preserve">(</w:t>
      </w:r>
      <w:r>
        <w:rPr>
          <w:sz w:val="24"/>
          <w:szCs w:val="24"/>
        </w:rPr>
        <w:t xml:space="preserve">вх</w:t>
      </w:r>
      <w:r>
        <w:rPr>
          <w:sz w:val="24"/>
          <w:szCs w:val="24"/>
        </w:rPr>
        <w:t xml:space="preserve">. 51:03:0090103:19)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расположенн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по адресу: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Мурманская обл., МО </w:t>
      </w:r>
      <w:r>
        <w:rPr>
          <w:sz w:val="24"/>
          <w:szCs w:val="24"/>
        </w:rPr>
        <w:t xml:space="preserve">Печенгск</w:t>
      </w:r>
      <w:r>
        <w:rPr>
          <w:sz w:val="24"/>
          <w:szCs w:val="24"/>
        </w:rPr>
        <w:t xml:space="preserve">ий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площадью </w:t>
      </w:r>
      <w:r>
        <w:rPr>
          <w:sz w:val="24"/>
          <w:szCs w:val="24"/>
        </w:rPr>
        <w:t xml:space="preserve">25 444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кв</w:t>
      </w:r>
      <w:r>
        <w:rPr>
          <w:sz w:val="24"/>
          <w:szCs w:val="24"/>
        </w:rPr>
        <w:t xml:space="preserve">.м</w:t>
      </w:r>
      <w:r>
        <w:rPr>
          <w:sz w:val="24"/>
          <w:szCs w:val="24"/>
        </w:rPr>
        <w:t xml:space="preserve">, в границах, указанных в прилагаемой схеме расположения границ публичного сервитута.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 Установить срок действия публичного сервитута – 49 (сорок девять) лет.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 Порядок установления зон с особыми условиями использования территории и содержание ограничений прав на части земельных участков в границах таких зон определяются в с</w:t>
      </w:r>
      <w:r>
        <w:rPr>
          <w:sz w:val="24"/>
          <w:szCs w:val="24"/>
        </w:rPr>
        <w:t xml:space="preserve">оответствии с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5. П</w:t>
      </w:r>
      <w:r>
        <w:rPr>
          <w:sz w:val="24"/>
          <w:szCs w:val="24"/>
        </w:rPr>
        <w:t xml:space="preserve">убличный сервитут </w:t>
      </w:r>
      <w:r>
        <w:rPr>
          <w:sz w:val="24"/>
          <w:szCs w:val="24"/>
        </w:rPr>
        <w:t xml:space="preserve">является безвозмездным</w:t>
      </w:r>
      <w:r>
        <w:rPr>
          <w:sz w:val="24"/>
          <w:szCs w:val="24"/>
        </w:rPr>
        <w:t xml:space="preserve"> (пп.3 п.6 ст.39.46 Земельного кодекса Российской Федерации)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tabs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>
        <w:rPr>
          <w:sz w:val="24"/>
          <w:szCs w:val="24"/>
        </w:rPr>
        <w:t xml:space="preserve">ПАО</w:t>
      </w:r>
      <w:r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Северо</w:t>
      </w:r>
      <w:r>
        <w:rPr>
          <w:sz w:val="24"/>
          <w:szCs w:val="24"/>
        </w:rPr>
        <w:t xml:space="preserve"> - Запад»</w:t>
      </w:r>
      <w:r>
        <w:rPr>
          <w:sz w:val="24"/>
          <w:szCs w:val="24"/>
        </w:rPr>
        <w:t xml:space="preserve"> привести земельный участок в состояние, пригодное для его использования в соответствии с разрешенным использованием, в срок не </w:t>
      </w:r>
      <w:r>
        <w:rPr>
          <w:sz w:val="24"/>
          <w:szCs w:val="24"/>
        </w:rPr>
        <w:t xml:space="preserve">позднее</w:t>
      </w:r>
      <w:r>
        <w:rPr>
          <w:sz w:val="24"/>
          <w:szCs w:val="24"/>
        </w:rPr>
        <w:t xml:space="preserve"> чем три месяца после завершения строительства, капитального или текущего ремонта, реконструкции, эксплуатации, консервации, сноса инженерного сооружения, для размещения которого был установлен публичный сервитут.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709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7. Комитету по управлению имуществом администрации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муниципального округа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Лаврущик</w:t>
      </w:r>
      <w:r>
        <w:rPr>
          <w:sz w:val="24"/>
          <w:szCs w:val="24"/>
        </w:rPr>
        <w:t xml:space="preserve"> С.С.)</w:t>
      </w:r>
      <w:r>
        <w:rPr>
          <w:sz w:val="24"/>
          <w:szCs w:val="24"/>
        </w:rPr>
        <w:t xml:space="preserve"> в течение пяти рабочих дней со дня подписания настоящего постановления: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709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- направить в орган регистрации прав копию настоящего постановления и заявление о государственной регистрации прав (публичного сервитута);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709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- направить обладателю публичного сервитута копию настоящего постановления, све</w:t>
      </w:r>
      <w:r>
        <w:rPr>
          <w:sz w:val="24"/>
          <w:szCs w:val="24"/>
        </w:rPr>
        <w:t xml:space="preserve">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  <w:ind w:firstLine="709"/>
        <w:jc w:val="both"/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8. Настоящее постановление вступает в силу после его подписания.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4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 На</w:t>
      </w:r>
      <w:r>
        <w:rPr>
          <w:sz w:val="24"/>
          <w:szCs w:val="24"/>
        </w:rPr>
        <w:t xml:space="preserve">стоящее постановление </w:t>
      </w:r>
      <w:r>
        <w:rPr>
          <w:sz w:val="24"/>
          <w:szCs w:val="24"/>
        </w:rPr>
        <w:t xml:space="preserve"> подлежит </w:t>
      </w:r>
      <w:r>
        <w:rPr>
          <w:sz w:val="24"/>
          <w:szCs w:val="24"/>
        </w:rPr>
        <w:t xml:space="preserve">размещению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</w:t>
      </w:r>
      <w:hyperlink r:id="rId10" w:tooltip="http://pechengamr.gov-murman.ru/" w:history="1">
        <w:r>
          <w:rPr>
            <w:rStyle w:val="855"/>
            <w:color w:val="auto"/>
            <w:sz w:val="24"/>
            <w:szCs w:val="24"/>
          </w:rPr>
          <w:t xml:space="preserve">http://pechengamr.gov-murman.ru/</w:t>
        </w:r>
      </w:hyperlink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   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widowControl w:val="off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widowControl w:val="off"/>
        <w:rPr>
          <w:b/>
          <w:bCs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Лаврущик</w:t>
      </w:r>
      <w:r>
        <w:rPr>
          <w:sz w:val="20"/>
          <w:szCs w:val="20"/>
        </w:rPr>
        <w:t xml:space="preserve"> С.С., 5-05-79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850" w:bottom="1134" w:left="1701" w:header="397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54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suff w:val="tab"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0"/>
    <w:next w:val="830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2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0"/>
    <w:next w:val="830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2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2"/>
    <w:link w:val="666"/>
    <w:uiPriority w:val="9"/>
    <w:rPr>
      <w:rFonts w:ascii="Arial" w:hAnsi="Arial" w:eastAsia="Arial" w:cs="Arial"/>
      <w:sz w:val="30"/>
      <w:szCs w:val="30"/>
    </w:rPr>
  </w:style>
  <w:style w:type="character" w:styleId="668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69">
    <w:name w:val="Heading 5"/>
    <w:basedOn w:val="830"/>
    <w:next w:val="830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0">
    <w:name w:val="Heading 5 Char"/>
    <w:basedOn w:val="832"/>
    <w:link w:val="669"/>
    <w:uiPriority w:val="9"/>
    <w:rPr>
      <w:rFonts w:ascii="Arial" w:hAnsi="Arial" w:eastAsia="Arial" w:cs="Arial"/>
      <w:b/>
      <w:bCs/>
      <w:sz w:val="24"/>
      <w:szCs w:val="24"/>
    </w:rPr>
  </w:style>
  <w:style w:type="paragraph" w:styleId="671">
    <w:name w:val="Heading 6"/>
    <w:basedOn w:val="830"/>
    <w:next w:val="830"/>
    <w:link w:val="67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2">
    <w:name w:val="Heading 6 Char"/>
    <w:basedOn w:val="832"/>
    <w:link w:val="671"/>
    <w:uiPriority w:val="9"/>
    <w:rPr>
      <w:rFonts w:ascii="Arial" w:hAnsi="Arial" w:eastAsia="Arial" w:cs="Arial"/>
      <w:b/>
      <w:bCs/>
      <w:sz w:val="22"/>
      <w:szCs w:val="22"/>
    </w:rPr>
  </w:style>
  <w:style w:type="paragraph" w:styleId="673">
    <w:name w:val="Heading 7"/>
    <w:basedOn w:val="830"/>
    <w:next w:val="830"/>
    <w:link w:val="67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4">
    <w:name w:val="Heading 7 Char"/>
    <w:basedOn w:val="832"/>
    <w:link w:val="6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830"/>
    <w:next w:val="830"/>
    <w:link w:val="6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6">
    <w:name w:val="Heading 8 Char"/>
    <w:basedOn w:val="832"/>
    <w:link w:val="675"/>
    <w:uiPriority w:val="9"/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830"/>
    <w:next w:val="830"/>
    <w:link w:val="67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>
    <w:name w:val="Heading 9 Char"/>
    <w:basedOn w:val="832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0"/>
    <w:next w:val="830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2"/>
    <w:link w:val="680"/>
    <w:uiPriority w:val="10"/>
    <w:rPr>
      <w:sz w:val="48"/>
      <w:szCs w:val="48"/>
    </w:rPr>
  </w:style>
  <w:style w:type="paragraph" w:styleId="682">
    <w:name w:val="Subtitle"/>
    <w:basedOn w:val="830"/>
    <w:next w:val="830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2"/>
    <w:link w:val="682"/>
    <w:uiPriority w:val="11"/>
    <w:rPr>
      <w:sz w:val="24"/>
      <w:szCs w:val="24"/>
    </w:rPr>
  </w:style>
  <w:style w:type="paragraph" w:styleId="684">
    <w:name w:val="Quote"/>
    <w:basedOn w:val="830"/>
    <w:next w:val="830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0"/>
    <w:next w:val="830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character" w:styleId="688">
    <w:name w:val="Header Char"/>
    <w:basedOn w:val="832"/>
    <w:link w:val="841"/>
    <w:uiPriority w:val="99"/>
  </w:style>
  <w:style w:type="character" w:styleId="689">
    <w:name w:val="Footer Char"/>
    <w:basedOn w:val="832"/>
    <w:link w:val="843"/>
    <w:uiPriority w:val="99"/>
  </w:style>
  <w:style w:type="paragraph" w:styleId="690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>
    <w:name w:val="Caption Char"/>
    <w:basedOn w:val="690"/>
    <w:link w:val="843"/>
    <w:uiPriority w:val="99"/>
  </w:style>
  <w:style w:type="table" w:styleId="692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Footnote Text Char"/>
    <w:link w:val="845"/>
    <w:uiPriority w:val="99"/>
    <w:rPr>
      <w:sz w:val="18"/>
    </w:rPr>
  </w:style>
  <w:style w:type="character" w:styleId="818">
    <w:name w:val="Endnote Text Char"/>
    <w:link w:val="848"/>
    <w:uiPriority w:val="99"/>
    <w:rPr>
      <w:sz w:val="20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</w:style>
  <w:style w:type="paragraph" w:styleId="831">
    <w:name w:val="Heading 4"/>
    <w:basedOn w:val="830"/>
    <w:next w:val="830"/>
    <w:link w:val="835"/>
    <w:qFormat/>
    <w:pPr>
      <w:ind w:firstLine="709"/>
      <w:keepNext/>
      <w:outlineLvl w:val="3"/>
    </w:pPr>
    <w:rPr>
      <w:sz w:val="28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4 Знак"/>
    <w:basedOn w:val="832"/>
    <w:link w:val="831"/>
    <w:rPr>
      <w:rFonts w:ascii="Times New Roman" w:hAnsi="Times New Roman" w:eastAsia="Times New Roman" w:cs="Times New Roman"/>
      <w:color w:val="000000"/>
      <w:sz w:val="28"/>
      <w:szCs w:val="20"/>
      <w:lang w:eastAsia="ru-RU"/>
    </w:rPr>
  </w:style>
  <w:style w:type="paragraph" w:styleId="836">
    <w:name w:val="Body Text 2"/>
    <w:basedOn w:val="830"/>
    <w:link w:val="837"/>
    <w:unhideWhenUsed/>
    <w:qFormat/>
    <w:pPr>
      <w:ind w:right="4495"/>
      <w:jc w:val="both"/>
      <w:tabs>
        <w:tab w:val="left" w:pos="4860" w:leader="none"/>
      </w:tabs>
    </w:pPr>
    <w:rPr>
      <w:rFonts w:eastAsia="Calibri"/>
      <w:color w:val="auto"/>
      <w:sz w:val="26"/>
      <w:szCs w:val="26"/>
    </w:rPr>
  </w:style>
  <w:style w:type="character" w:styleId="837" w:customStyle="1">
    <w:name w:val="Основной текст 2 Знак"/>
    <w:basedOn w:val="832"/>
    <w:link w:val="836"/>
    <w:rPr>
      <w:rFonts w:ascii="Times New Roman" w:hAnsi="Times New Roman" w:eastAsia="Calibri" w:cs="Times New Roman"/>
      <w:sz w:val="26"/>
      <w:szCs w:val="26"/>
      <w:lang w:eastAsia="ru-RU"/>
    </w:rPr>
  </w:style>
  <w:style w:type="paragraph" w:styleId="838">
    <w:name w:val="Balloon Text"/>
    <w:basedOn w:val="830"/>
    <w:link w:val="839"/>
    <w:uiPriority w:val="99"/>
    <w:semiHidden/>
    <w:unhideWhenUsed/>
    <w:rPr>
      <w:rFonts w:ascii="Tahoma" w:hAnsi="Tahoma" w:cs="Tahoma"/>
      <w:sz w:val="16"/>
      <w:szCs w:val="16"/>
    </w:rPr>
  </w:style>
  <w:style w:type="character" w:styleId="839" w:customStyle="1">
    <w:name w:val="Текст выноски Знак"/>
    <w:basedOn w:val="832"/>
    <w:link w:val="838"/>
    <w:uiPriority w:val="99"/>
    <w:semiHidden/>
    <w:rPr>
      <w:rFonts w:ascii="Tahoma" w:hAnsi="Tahoma" w:eastAsia="Times New Roman" w:cs="Tahoma"/>
      <w:color w:val="000000"/>
      <w:sz w:val="16"/>
      <w:szCs w:val="16"/>
      <w:lang w:eastAsia="ru-RU"/>
    </w:rPr>
  </w:style>
  <w:style w:type="paragraph" w:styleId="840">
    <w:name w:val="List Paragraph"/>
    <w:basedOn w:val="830"/>
    <w:uiPriority w:val="34"/>
    <w:qFormat/>
    <w:pPr>
      <w:contextualSpacing/>
      <w:ind w:left="720"/>
    </w:pPr>
  </w:style>
  <w:style w:type="paragraph" w:styleId="841">
    <w:name w:val="Header"/>
    <w:basedOn w:val="830"/>
    <w:link w:val="842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42" w:customStyle="1">
    <w:name w:val="Верхний колонтитул Знак"/>
    <w:basedOn w:val="832"/>
    <w:link w:val="84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3">
    <w:name w:val="Footer"/>
    <w:basedOn w:val="830"/>
    <w:link w:val="844"/>
    <w:uiPriority w:val="99"/>
    <w:pPr>
      <w:tabs>
        <w:tab w:val="center" w:pos="4153" w:leader="none"/>
        <w:tab w:val="right" w:pos="8306" w:leader="none"/>
      </w:tabs>
    </w:pPr>
    <w:rPr>
      <w:color w:val="auto"/>
    </w:rPr>
  </w:style>
  <w:style w:type="character" w:styleId="844" w:customStyle="1">
    <w:name w:val="Нижний колонтитул Знак"/>
    <w:basedOn w:val="832"/>
    <w:link w:val="84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5">
    <w:name w:val="footnote text"/>
    <w:basedOn w:val="830"/>
    <w:link w:val="846"/>
    <w:uiPriority w:val="99"/>
    <w:semiHidden/>
    <w:rPr>
      <w:color w:val="auto"/>
    </w:rPr>
  </w:style>
  <w:style w:type="character" w:styleId="846" w:customStyle="1">
    <w:name w:val="Текст сноски Знак"/>
    <w:basedOn w:val="832"/>
    <w:link w:val="84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7">
    <w:name w:val="footnote reference"/>
    <w:basedOn w:val="832"/>
    <w:uiPriority w:val="99"/>
    <w:semiHidden/>
    <w:rPr>
      <w:rFonts w:cs="Times New Roman"/>
      <w:vertAlign w:val="superscript"/>
    </w:rPr>
  </w:style>
  <w:style w:type="paragraph" w:styleId="848">
    <w:name w:val="endnote text"/>
    <w:basedOn w:val="830"/>
    <w:link w:val="849"/>
    <w:uiPriority w:val="99"/>
    <w:semiHidden/>
    <w:rPr>
      <w:color w:val="auto"/>
    </w:rPr>
  </w:style>
  <w:style w:type="character" w:styleId="849" w:customStyle="1">
    <w:name w:val="Текст концевой сноски Знак"/>
    <w:basedOn w:val="832"/>
    <w:link w:val="84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0">
    <w:name w:val="endnote reference"/>
    <w:basedOn w:val="832"/>
    <w:uiPriority w:val="99"/>
    <w:semiHidden/>
    <w:rPr>
      <w:rFonts w:cs="Times New Roman"/>
      <w:vertAlign w:val="superscript"/>
    </w:rPr>
  </w:style>
  <w:style w:type="paragraph" w:styleId="851" w:customStyle="1">
    <w:name w:val="ConsNormal"/>
    <w:uiPriority w:val="99"/>
    <w:pPr>
      <w:ind w:right="19772"/>
      <w:jc w:val="both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52" w:customStyle="1">
    <w:name w:val="ConsPlusNorma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4"/>
      <w:szCs w:val="20"/>
      <w:lang w:eastAsia="ru-RU"/>
    </w:rPr>
  </w:style>
  <w:style w:type="table" w:styleId="853" w:customStyle="1">
    <w:name w:val="Сетка таблицы1"/>
    <w:basedOn w:val="833"/>
    <w:next w:val="85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54">
    <w:name w:val="Table Grid"/>
    <w:basedOn w:val="833"/>
    <w:uiPriority w:val="59"/>
    <w:pPr>
      <w:spacing w:after="0" w:line="240" w:lineRule="auto"/>
    </w:pPr>
    <w:rPr>
      <w:rFonts w:ascii="Times New Roman" w:hAnsi="Times New Roman" w:eastAsia="Times New Roman" w:cs="Times New Roman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5">
    <w:name w:val="Hyperlink"/>
    <w:basedOn w:val="832"/>
    <w:uiPriority w:val="99"/>
    <w:unhideWhenUsed/>
    <w:rPr>
      <w:color w:val="0000ff" w:themeColor="hyperlink"/>
      <w:u w:val="single"/>
    </w:rPr>
  </w:style>
  <w:style w:type="paragraph" w:styleId="856" w:customStyle="1">
    <w:name w:val="s_1"/>
    <w:basedOn w:val="830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АПР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revision>28</cp:revision>
  <dcterms:created xsi:type="dcterms:W3CDTF">2022-05-04T13:12:00Z</dcterms:created>
  <dcterms:modified xsi:type="dcterms:W3CDTF">2024-08-21T08:32:44Z</dcterms:modified>
</cp:coreProperties>
</file>